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Style0"/>
        <w:tblW w:w="10320" w:type="dxa"/>
        <w:tblInd w:w="0" w:type="dxa"/>
        <w:tblLayout w:type="fixed"/>
        <w:tblLook w:val="04A0" w:firstRow="1" w:lastRow="0" w:firstColumn="1" w:lastColumn="0" w:noHBand="0" w:noVBand="1"/>
      </w:tblPr>
      <w:tblGrid>
        <w:gridCol w:w="10320"/>
      </w:tblGrid>
      <w:tr w:rsidR="00623BF5">
        <w:trPr>
          <w:cantSplit/>
        </w:trPr>
        <w:tc>
          <w:tcPr>
            <w:tcW w:w="10320" w:type="dxa"/>
            <w:shd w:val="clear" w:color="auto" w:fill="auto"/>
            <w:vAlign w:val="center"/>
          </w:tcPr>
          <w:p w:rsidR="00623BF5" w:rsidRPr="009038B4" w:rsidRDefault="007C7B8A">
            <w:pPr>
              <w:jc w:val="center"/>
              <w:rPr>
                <w:rFonts w:ascii="Times New Roman" w:hAnsi="Times New Roman"/>
                <w:b/>
                <w:sz w:val="28"/>
                <w:szCs w:val="28"/>
              </w:rPr>
            </w:pPr>
            <w:r w:rsidRPr="009038B4">
              <w:rPr>
                <w:rFonts w:ascii="Times New Roman" w:hAnsi="Times New Roman"/>
                <w:b/>
                <w:sz w:val="28"/>
                <w:szCs w:val="28"/>
              </w:rPr>
              <w:t xml:space="preserve"> ДОГОВОР ПОСТВКИ </w:t>
            </w:r>
          </w:p>
          <w:p w:rsidR="009038B4" w:rsidRDefault="009038B4">
            <w:pPr>
              <w:jc w:val="center"/>
            </w:pPr>
          </w:p>
        </w:tc>
      </w:tr>
      <w:tr w:rsidR="00623BF5">
        <w:trPr>
          <w:cantSplit/>
        </w:trPr>
        <w:tc>
          <w:tcPr>
            <w:tcW w:w="10320" w:type="dxa"/>
            <w:shd w:val="clear" w:color="auto" w:fill="auto"/>
            <w:vAlign w:val="center"/>
          </w:tcPr>
          <w:p w:rsidR="00623BF5" w:rsidRDefault="00623BF5">
            <w:pPr>
              <w:jc w:val="both"/>
            </w:pPr>
          </w:p>
        </w:tc>
      </w:tr>
      <w:tr w:rsidR="00623BF5">
        <w:trPr>
          <w:cantSplit/>
        </w:trPr>
        <w:tc>
          <w:tcPr>
            <w:tcW w:w="10320" w:type="dxa"/>
            <w:shd w:val="clear" w:color="auto" w:fill="auto"/>
            <w:vAlign w:val="center"/>
          </w:tcPr>
          <w:p w:rsidR="00623BF5" w:rsidRDefault="00034199">
            <w:pPr>
              <w:jc w:val="center"/>
              <w:rPr>
                <w:rFonts w:ascii="Times New Roman" w:hAnsi="Times New Roman"/>
                <w:b/>
                <w:sz w:val="24"/>
                <w:szCs w:val="24"/>
              </w:rPr>
            </w:pPr>
            <w:r w:rsidRPr="009038B4">
              <w:rPr>
                <w:rFonts w:ascii="Times New Roman" w:hAnsi="Times New Roman"/>
                <w:b/>
                <w:sz w:val="24"/>
                <w:szCs w:val="24"/>
              </w:rPr>
              <w:t xml:space="preserve">г. Москва                                                                                                   </w:t>
            </w:r>
            <w:r w:rsidR="009038B4">
              <w:rPr>
                <w:rFonts w:ascii="Times New Roman" w:hAnsi="Times New Roman"/>
                <w:b/>
                <w:sz w:val="24"/>
                <w:szCs w:val="24"/>
              </w:rPr>
              <w:t xml:space="preserve">        </w:t>
            </w:r>
            <w:r w:rsidRPr="009038B4">
              <w:rPr>
                <w:rFonts w:ascii="Times New Roman" w:hAnsi="Times New Roman"/>
                <w:b/>
                <w:sz w:val="24"/>
                <w:szCs w:val="24"/>
              </w:rPr>
              <w:t xml:space="preserve">        Дата</w:t>
            </w:r>
          </w:p>
          <w:p w:rsidR="009038B4" w:rsidRPr="009038B4" w:rsidRDefault="009038B4">
            <w:pPr>
              <w:jc w:val="center"/>
              <w:rPr>
                <w:b/>
                <w:sz w:val="24"/>
                <w:szCs w:val="24"/>
              </w:rPr>
            </w:pP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 xml:space="preserve">ИП </w:t>
            </w:r>
            <w:proofErr w:type="spellStart"/>
            <w:r>
              <w:rPr>
                <w:rFonts w:ascii="Times New Roman" w:hAnsi="Times New Roman"/>
                <w:sz w:val="20"/>
                <w:szCs w:val="20"/>
              </w:rPr>
              <w:t>Авакова</w:t>
            </w:r>
            <w:proofErr w:type="spellEnd"/>
            <w:r>
              <w:rPr>
                <w:rFonts w:ascii="Times New Roman" w:hAnsi="Times New Roman"/>
                <w:sz w:val="20"/>
                <w:szCs w:val="20"/>
              </w:rPr>
              <w:t xml:space="preserve"> Татьяна Юрьевна, действующий на основании ОГРНИП 304263212800106, ИНН 263200147909, именуемый в дальнейшем «Поставщик», с  одной стороны, и Юридическое  лицо, действующий на основании ОГРНИП</w:t>
            </w:r>
            <w:proofErr w:type="gramStart"/>
            <w:r>
              <w:rPr>
                <w:rFonts w:ascii="Times New Roman" w:hAnsi="Times New Roman"/>
                <w:sz w:val="20"/>
                <w:szCs w:val="20"/>
              </w:rPr>
              <w:t xml:space="preserve"> ,</w:t>
            </w:r>
            <w:proofErr w:type="gramEnd"/>
            <w:r>
              <w:rPr>
                <w:rFonts w:ascii="Times New Roman" w:hAnsi="Times New Roman"/>
                <w:sz w:val="20"/>
                <w:szCs w:val="20"/>
              </w:rPr>
              <w:t xml:space="preserve"> ИНН , именуемый в дальнейшем «Покупатель», с другой стороны, вместе и по отдельности именуемые «Стороны», заключили настоящий Договор о нижеследующем:</w:t>
            </w:r>
          </w:p>
        </w:tc>
      </w:tr>
      <w:tr w:rsidR="00623BF5">
        <w:trPr>
          <w:cantSplit/>
        </w:trPr>
        <w:tc>
          <w:tcPr>
            <w:tcW w:w="10320" w:type="dxa"/>
            <w:shd w:val="clear" w:color="auto" w:fill="auto"/>
            <w:vAlign w:val="center"/>
          </w:tcPr>
          <w:p w:rsidR="00623BF5" w:rsidRDefault="00623BF5">
            <w:pPr>
              <w:jc w:val="both"/>
            </w:pPr>
          </w:p>
        </w:tc>
      </w:tr>
      <w:tr w:rsidR="00623BF5">
        <w:trPr>
          <w:cantSplit/>
        </w:trPr>
        <w:tc>
          <w:tcPr>
            <w:tcW w:w="10320" w:type="dxa"/>
            <w:shd w:val="clear" w:color="auto" w:fill="auto"/>
            <w:vAlign w:val="center"/>
          </w:tcPr>
          <w:p w:rsidR="00623BF5" w:rsidRDefault="00034199">
            <w:pPr>
              <w:jc w:val="center"/>
            </w:pPr>
            <w:r>
              <w:rPr>
                <w:rFonts w:ascii="Times New Roman" w:hAnsi="Times New Roman"/>
                <w:sz w:val="20"/>
                <w:szCs w:val="20"/>
              </w:rPr>
              <w:t>1.  ПРЕДМЕТ  И  ОБЩИЕ УСЛОВИЯ  ДОГОВОРА.</w:t>
            </w:r>
          </w:p>
        </w:tc>
      </w:tr>
      <w:tr w:rsidR="00623BF5">
        <w:trPr>
          <w:cantSplit/>
        </w:trPr>
        <w:tc>
          <w:tcPr>
            <w:tcW w:w="10320" w:type="dxa"/>
            <w:shd w:val="clear" w:color="auto" w:fill="auto"/>
            <w:vAlign w:val="center"/>
          </w:tcPr>
          <w:p w:rsidR="00623BF5" w:rsidRDefault="00623BF5">
            <w:pPr>
              <w:jc w:val="center"/>
            </w:pP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1.1. По настоящему Договору Поставщик обязуется поставить (передать в собственность), а Покупатель принять и оплатить товар на условиях настоящего Договора (далее – Договор) по ценам согласованным на день выставления счета</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1.2. Товарами по настоящему Договору являются чулочно-носочные изделия и нижнее белье.</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1.3. Срок поставки, адрес (адрес грузополучателя) и способ поставки (самовывоз, транспортная компания),  цена  товара, наименование, ассортимент, количество, а также другие конкретизирующие товар признаки указываются Сторонами  в Заявках Покупателя.</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 xml:space="preserve">Условия поставки, указанные в настоящем пункте, считаются согласованными Сторонами Договора с момента поступления Заявки от Покупателя. Заявкой считаются отдельные позиции из ассортиментного перечня Товара, указанные  Покупателем при оформлении заказа  в </w:t>
            </w:r>
            <w:proofErr w:type="gramStart"/>
            <w:r>
              <w:rPr>
                <w:rFonts w:ascii="Times New Roman" w:hAnsi="Times New Roman"/>
                <w:sz w:val="20"/>
                <w:szCs w:val="20"/>
              </w:rPr>
              <w:t>Интернет-магазине</w:t>
            </w:r>
            <w:proofErr w:type="gramEnd"/>
            <w:r>
              <w:rPr>
                <w:rFonts w:ascii="Times New Roman" w:hAnsi="Times New Roman"/>
                <w:sz w:val="20"/>
                <w:szCs w:val="20"/>
              </w:rPr>
              <w:t xml:space="preserve">  Поставщика  на сайте: https://stilono.ru</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1.4. Прием-передача товара осуществляется путем использования товарной  накладной  № ТОРГ-12.</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1.5. Риск случайной гибели  (утраты, пропажи)  или  случайного  повреждения  поставляемых  по настоящему Договору товаров переходит на Покупателя с момента фактической передачи товаров Покупателю и утверждения (подписания) Покупателем соответствующих накладных.</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При  передаче товаров назначенной Покупателем транспортной организации риск случайной гибели (утраты, пропажи) или случайного повреждения поставляемых (передаваемых) по настоящему Договору товаров переходит на Покупателя с момента предоставления товара в распоряжение транспортной организации.</w:t>
            </w:r>
          </w:p>
        </w:tc>
      </w:tr>
      <w:tr w:rsidR="00623BF5">
        <w:trPr>
          <w:cantSplit/>
        </w:trPr>
        <w:tc>
          <w:tcPr>
            <w:tcW w:w="10320" w:type="dxa"/>
            <w:shd w:val="clear" w:color="auto" w:fill="auto"/>
            <w:vAlign w:val="center"/>
          </w:tcPr>
          <w:p w:rsidR="00623BF5" w:rsidRDefault="00623BF5">
            <w:pPr>
              <w:jc w:val="both"/>
            </w:pPr>
          </w:p>
        </w:tc>
      </w:tr>
      <w:tr w:rsidR="00623BF5">
        <w:trPr>
          <w:cantSplit/>
        </w:trPr>
        <w:tc>
          <w:tcPr>
            <w:tcW w:w="10320" w:type="dxa"/>
            <w:shd w:val="clear" w:color="auto" w:fill="auto"/>
            <w:vAlign w:val="center"/>
          </w:tcPr>
          <w:p w:rsidR="00623BF5" w:rsidRDefault="00034199">
            <w:pPr>
              <w:jc w:val="center"/>
            </w:pPr>
            <w:r>
              <w:rPr>
                <w:rFonts w:ascii="Times New Roman" w:hAnsi="Times New Roman"/>
                <w:sz w:val="20"/>
                <w:szCs w:val="20"/>
              </w:rPr>
              <w:t>2.  ПОРЯДОК И УСЛОВИЯ  ПОСТАВКИ</w:t>
            </w:r>
          </w:p>
        </w:tc>
      </w:tr>
      <w:tr w:rsidR="00623BF5">
        <w:trPr>
          <w:cantSplit/>
        </w:trPr>
        <w:tc>
          <w:tcPr>
            <w:tcW w:w="10320" w:type="dxa"/>
            <w:shd w:val="clear" w:color="auto" w:fill="auto"/>
            <w:vAlign w:val="center"/>
          </w:tcPr>
          <w:p w:rsidR="00623BF5" w:rsidRDefault="00623BF5">
            <w:pPr>
              <w:jc w:val="both"/>
            </w:pP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2.1. Поставщик поставляет товары Покупателю одной отдельной партией на основании Заказа Покупателя. Покупатель заказывает необходимые ему товары  из товарной  номенклатуры  Продавца в соответствии с п.1.2. настоящего Договора.  Под партией товаров в настоящем Договоре понимается количество и номенклатура товаров, одновременно отгружаемых Покупателю.</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2.2. Заявка принимается к рассмотрению при наличии товара на складе Поставщика. О наличии, либо  отсутствии товара,  Поставщик уведомляет Покупателя устно по телефонной связи, либо с помощью электронной почты в течение 3-х (Трех) рабочих дней с момента поступления Заявки.</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2.3. Получение Поставщиком Заявки Покупателя свидетельствует о согласовании Сторонами Заказа и согласии Сторон с условиями поставки товаров.</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2.4. Тара и упаковка должны обеспечивать сохранность товара при погрузо-разгрузочных работах и транспортировке.</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2.5. Отгрузка Покупателю заказанных им товаров осуществляется по товарным накладным. Право собственности на товар переходит от Поставщика к Покупателю в момент передачи груза в транспортную организацию, назначенную Покупателем. Датой отгрузки товаров Покупателю будет являться дата соответствующей товарной накладной ТОРГ-12 на данные товары. Отгрузка товаров, в назначенную Покупателем транспортную компанию, подтверждается товарно-транспортной накладной о приеме груза к перевозке.</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 xml:space="preserve">2.6. Поставщик предоставляет Покупателю следующие документы: товарную накладную ТОРГ-12, реестр сертификатов  и деклараций соответствия </w:t>
            </w:r>
            <w:proofErr w:type="gramStart"/>
            <w:r>
              <w:rPr>
                <w:rFonts w:ascii="Times New Roman" w:hAnsi="Times New Roman"/>
                <w:sz w:val="20"/>
                <w:szCs w:val="20"/>
              </w:rPr>
              <w:t>ТР</w:t>
            </w:r>
            <w:proofErr w:type="gramEnd"/>
            <w:r>
              <w:rPr>
                <w:rFonts w:ascii="Times New Roman" w:hAnsi="Times New Roman"/>
                <w:sz w:val="20"/>
                <w:szCs w:val="20"/>
              </w:rPr>
              <w:t xml:space="preserve"> ТС на приобретенный товар.</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2.7. Поставщик обязуется бесплатно доставить груз в указанную Покупателем транспортную компанию в пределах МКАД, указанную на сайте Поставщика,   при условии,  что минимальная сумма заказа составит от  150 000,00 руб. Доставка грузов в другие транспортные компании, находящиеся в пределах МКАД</w:t>
            </w:r>
            <w:proofErr w:type="gramStart"/>
            <w:r>
              <w:rPr>
                <w:rFonts w:ascii="Times New Roman" w:hAnsi="Times New Roman"/>
                <w:sz w:val="20"/>
                <w:szCs w:val="20"/>
              </w:rPr>
              <w:t xml:space="preserve"> ,</w:t>
            </w:r>
            <w:proofErr w:type="gramEnd"/>
            <w:r>
              <w:rPr>
                <w:rFonts w:ascii="Times New Roman" w:hAnsi="Times New Roman"/>
                <w:sz w:val="20"/>
                <w:szCs w:val="20"/>
              </w:rPr>
              <w:t xml:space="preserve"> при заказе менее 150 000 ,00 рублей, осуществляется платно - 2 300 рублей. Стоимость доставки до транспортных компаний, находящихся за пределами  МКАД</w:t>
            </w:r>
            <w:proofErr w:type="gramStart"/>
            <w:r>
              <w:rPr>
                <w:rFonts w:ascii="Times New Roman" w:hAnsi="Times New Roman"/>
                <w:sz w:val="20"/>
                <w:szCs w:val="20"/>
              </w:rPr>
              <w:t xml:space="preserve"> ,</w:t>
            </w:r>
            <w:proofErr w:type="gramEnd"/>
            <w:r>
              <w:rPr>
                <w:rFonts w:ascii="Times New Roman" w:hAnsi="Times New Roman"/>
                <w:sz w:val="20"/>
                <w:szCs w:val="20"/>
              </w:rPr>
              <w:t xml:space="preserve">  оговаривается индивидуально.</w:t>
            </w:r>
          </w:p>
        </w:tc>
      </w:tr>
      <w:tr w:rsidR="00623BF5">
        <w:trPr>
          <w:cantSplit/>
        </w:trPr>
        <w:tc>
          <w:tcPr>
            <w:tcW w:w="10320" w:type="dxa"/>
            <w:shd w:val="clear" w:color="auto" w:fill="auto"/>
            <w:vAlign w:val="center"/>
          </w:tcPr>
          <w:p w:rsidR="00623BF5" w:rsidRDefault="00623BF5">
            <w:pPr>
              <w:jc w:val="center"/>
            </w:pPr>
          </w:p>
        </w:tc>
      </w:tr>
      <w:tr w:rsidR="00623BF5">
        <w:trPr>
          <w:cantSplit/>
        </w:trPr>
        <w:tc>
          <w:tcPr>
            <w:tcW w:w="10320" w:type="dxa"/>
            <w:shd w:val="clear" w:color="auto" w:fill="auto"/>
            <w:vAlign w:val="center"/>
          </w:tcPr>
          <w:p w:rsidR="00623BF5" w:rsidRDefault="00034199">
            <w:pPr>
              <w:jc w:val="center"/>
            </w:pPr>
            <w:r>
              <w:rPr>
                <w:rFonts w:ascii="Times New Roman" w:hAnsi="Times New Roman"/>
                <w:sz w:val="20"/>
                <w:szCs w:val="20"/>
              </w:rPr>
              <w:t>3.  ЦЕНА ТОВАРА. ПОРЯДОК РАСЧЕТОВ</w:t>
            </w:r>
          </w:p>
        </w:tc>
      </w:tr>
      <w:tr w:rsidR="00623BF5">
        <w:trPr>
          <w:cantSplit/>
        </w:trPr>
        <w:tc>
          <w:tcPr>
            <w:tcW w:w="10320" w:type="dxa"/>
            <w:shd w:val="clear" w:color="auto" w:fill="auto"/>
            <w:vAlign w:val="center"/>
          </w:tcPr>
          <w:p w:rsidR="00623BF5" w:rsidRDefault="00623BF5">
            <w:pPr>
              <w:jc w:val="both"/>
            </w:pP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3.1. Расчеты за поставляемый товар осуществляются в виде 100 % предоплаты за каждую партию товара по ценам, согласованным на день выставления счета. Цены товаров согласовываются и указываются Сторонами в товарных накладных.</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3.2. Стоимость каждой партии товара, подлежащей поставке, определяется в соответствии с прилагаемой к Договору накладной ТОРГ-12 в российских рублях, в соответствии со счетом на оплату. Цены на товар указаны без НДС, так как  Поставщик не является его плательщиком.</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lastRenderedPageBreak/>
              <w:t>3.3. Товары оплачиваются Покупателем по ценам, указанным в соответствующих товарных накладных на данные товары. Изменение цен допускается только до выставления счета на оплату. После выставления счета цена изменению не подлежит.</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3.4. Цена товара включает в себя стоимость товара, стоимость упаковки и доставки до транспортной компании.</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3.5.Оплата за заказ осуществляется Покупателем в течение 3 (Трех) рабочих дней с момента формирования Поставщиком Счета. В случае неоплаты в установленный срок Счет считается аннулированным.</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3.6. Оплата товаров производится в безналичном порядке платежными поручениями на расчетный счет Поставщика. В платежных поручениях в назначении платежа Покупатель обязан указывать номер  Счета  и настоящего Договора.</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3.7. Датой оплаты считается дата зачисления денежных средств на расчетный счет Поставщика.</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3.8. Стоимость доставки товара до места назначения и дополнительные услуги транспортной компании осуществляются за счет Покупателя.</w:t>
            </w:r>
          </w:p>
        </w:tc>
      </w:tr>
      <w:tr w:rsidR="00623BF5">
        <w:trPr>
          <w:cantSplit/>
        </w:trPr>
        <w:tc>
          <w:tcPr>
            <w:tcW w:w="10320" w:type="dxa"/>
            <w:shd w:val="clear" w:color="auto" w:fill="auto"/>
            <w:vAlign w:val="center"/>
          </w:tcPr>
          <w:p w:rsidR="00623BF5" w:rsidRDefault="00623BF5">
            <w:pPr>
              <w:jc w:val="both"/>
            </w:pPr>
          </w:p>
        </w:tc>
      </w:tr>
      <w:tr w:rsidR="00623BF5">
        <w:trPr>
          <w:cantSplit/>
        </w:trPr>
        <w:tc>
          <w:tcPr>
            <w:tcW w:w="10320" w:type="dxa"/>
            <w:shd w:val="clear" w:color="auto" w:fill="auto"/>
            <w:vAlign w:val="center"/>
          </w:tcPr>
          <w:p w:rsidR="00623BF5" w:rsidRDefault="00034199">
            <w:pPr>
              <w:jc w:val="center"/>
            </w:pPr>
            <w:r>
              <w:rPr>
                <w:rFonts w:ascii="Times New Roman" w:hAnsi="Times New Roman"/>
                <w:sz w:val="20"/>
                <w:szCs w:val="20"/>
              </w:rPr>
              <w:t>4.  ПРАВА И ОБЯЗАНОСТИ СТОРОН.</w:t>
            </w:r>
          </w:p>
        </w:tc>
      </w:tr>
      <w:tr w:rsidR="00623BF5">
        <w:trPr>
          <w:cantSplit/>
        </w:trPr>
        <w:tc>
          <w:tcPr>
            <w:tcW w:w="10320" w:type="dxa"/>
            <w:shd w:val="clear" w:color="auto" w:fill="auto"/>
            <w:vAlign w:val="center"/>
          </w:tcPr>
          <w:p w:rsidR="00623BF5" w:rsidRDefault="00623BF5">
            <w:pPr>
              <w:jc w:val="both"/>
            </w:pP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u w:val="single"/>
              </w:rPr>
              <w:t>4.1. Поставщик обязуется:</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4.1.1. Соблюдать установленный Договором порядок и условия поставки, а также своевременно поставлять товар.</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4.1.2. Поставлять Товар свободный от любых прав третьих лиц согласно Заявкам.</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4.1.3. Своевременно и всесторонне информировать Покупателя обо всех осуществленных действиях, информация о которых в соответствии с Договором подлежит передаче Покупателю.</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4.1.4. Передать Покупателю всю необходимую документацию на товар, предусмотренную действующим законодательством РФ, а также оригиналы Договора, накладных, счетов-фактур  и других документов, подлежащих подписанию Покупателем вместе с партией поставляемого товара. Вместе с пакетом документов передать Покупателю торговые ярлыки (самоклеящиеся этикетки), на весь товар по накладной ТОРГ-12  для маркировки приобретаемой продукции. Ярлыки поставляются с товаром отдельно, в целях не нарушения целостности упаковки.</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4.1.5 Поставщик гарантирует качество и безопасность поставляемого товара для конечного потребителя.</w:t>
            </w:r>
          </w:p>
        </w:tc>
      </w:tr>
      <w:tr w:rsidR="00623BF5">
        <w:trPr>
          <w:cantSplit/>
        </w:trPr>
        <w:tc>
          <w:tcPr>
            <w:tcW w:w="10320" w:type="dxa"/>
            <w:shd w:val="clear" w:color="auto" w:fill="auto"/>
            <w:vAlign w:val="center"/>
          </w:tcPr>
          <w:p w:rsidR="00623BF5" w:rsidRDefault="00623BF5">
            <w:pPr>
              <w:jc w:val="both"/>
            </w:pP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u w:val="single"/>
              </w:rPr>
              <w:t>4.2. Поставщик имеет право:</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4.2.1.Запросить у Покупателя, в подтверждение оплаты товара, копию платежного поручения с отметкой банка о принятии к исполнению.</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4.2.2. Требовать одностороннего расторжения Договора в случаях, установленных действующим законодательством.</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4.2.3.Отказать в принятии претензии в случае непредставления Покупателем надлежаще оформленной унифицированной формы № ТОРГ-12.</w:t>
            </w:r>
          </w:p>
        </w:tc>
      </w:tr>
      <w:tr w:rsidR="00623BF5">
        <w:trPr>
          <w:cantSplit/>
        </w:trPr>
        <w:tc>
          <w:tcPr>
            <w:tcW w:w="10320" w:type="dxa"/>
            <w:shd w:val="clear" w:color="auto" w:fill="auto"/>
            <w:vAlign w:val="center"/>
          </w:tcPr>
          <w:p w:rsidR="00623BF5" w:rsidRDefault="00623BF5">
            <w:pPr>
              <w:jc w:val="both"/>
            </w:pP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u w:val="single"/>
              </w:rPr>
              <w:t>4.3. Покупатель обязан:</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4.3.1. Принимать и оплачивать товары в порядке, определяемом условиями настоящего Договора.</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4.3.2. Оплачивать поставляемые ему Поставщиком товары в полном объеме и в срок, указанный в п.3.5. настоящего Договора.</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4.3.3</w:t>
            </w:r>
            <w:proofErr w:type="gramStart"/>
            <w:r>
              <w:rPr>
                <w:rFonts w:ascii="Times New Roman" w:hAnsi="Times New Roman"/>
                <w:sz w:val="20"/>
                <w:szCs w:val="20"/>
              </w:rPr>
              <w:t xml:space="preserve"> С</w:t>
            </w:r>
            <w:proofErr w:type="gramEnd"/>
            <w:r>
              <w:rPr>
                <w:rFonts w:ascii="Times New Roman" w:hAnsi="Times New Roman"/>
                <w:sz w:val="20"/>
                <w:szCs w:val="20"/>
              </w:rPr>
              <w:t>овершать все необходимые действия, обеспечивающие принятие и оплату товаров, поставляемых ему по настоящему Договору.</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4.3.4. Осуществить проверку при приеме товара по количеству и качеству, подписать соответствующие документы в соответствии с положениями Договора. Проверка качества товара осуществляется Покупателем в течение 5 (пяти) рабочих дней с момента получения товара. При обнаружении фабричного дефекта на изделиях, оформить надлежащим образом Акт по количеству и качеству, и передать данный товар на склад Поставщика в течение 14 (четырнадцати) календарных дней с момента получения товара.  Акт о возврате товаров оформляется в письменном виде, и утверждается уполномоченными представителями Сторон.</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Претензии по комплектности и качеству принимаются Поставщиком только на основании Акта о некомплектности. Претензии, предъявленные за рамками установленного срока, рассмотрению не подлежат.</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4.3.5. Самостоятельно произвести маркировку каждой единицы товара ярлыками (самоклеящиеся этикетки). За маркировку товарной единицы этикетками, оформленными не в соответствии с Техническим Регламентом, Поставщик ответственности не несет.</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4.3.6. Передать или иным образом доставить Поставщику оригиналы Договора, накладных, актов и иных документов, подлежащих передаче Поставщику в течение 15 (Пятнадцати) календарных дней с момента принятия оригиналов таких документов. Договор, а также все документы необходимые для заключения конкретной заявки (счет, письма, товарно-сопроводительные документы), подписанные сторонами и отправленные по факсимильной или электронной связи имеют одинаковую юридическую силу, и являются оригиналами.</w:t>
            </w:r>
          </w:p>
        </w:tc>
      </w:tr>
      <w:tr w:rsidR="00623BF5">
        <w:trPr>
          <w:cantSplit/>
        </w:trPr>
        <w:tc>
          <w:tcPr>
            <w:tcW w:w="10320" w:type="dxa"/>
            <w:shd w:val="clear" w:color="auto" w:fill="auto"/>
            <w:vAlign w:val="center"/>
          </w:tcPr>
          <w:p w:rsidR="00623BF5" w:rsidRDefault="00623BF5">
            <w:pPr>
              <w:jc w:val="both"/>
            </w:pP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u w:val="single"/>
              </w:rPr>
              <w:t>4.4. Покупатель имеет право:</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 xml:space="preserve">4.4.1. Предъявить претензии Поставщику по качеству, количеству и срокам поставки в течение 14 календарных дней </w:t>
            </w:r>
            <w:proofErr w:type="gramStart"/>
            <w:r>
              <w:rPr>
                <w:rFonts w:ascii="Times New Roman" w:hAnsi="Times New Roman"/>
                <w:sz w:val="20"/>
                <w:szCs w:val="20"/>
              </w:rPr>
              <w:t>с даты поступления</w:t>
            </w:r>
            <w:proofErr w:type="gramEnd"/>
            <w:r>
              <w:rPr>
                <w:rFonts w:ascii="Times New Roman" w:hAnsi="Times New Roman"/>
                <w:sz w:val="20"/>
                <w:szCs w:val="20"/>
              </w:rPr>
              <w:t xml:space="preserve"> товара Покупателю. Если в течение этого срока претензия не предъявлена, то Покупатель теряет право на ее предъявление.</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4.4.2. Требовать одностороннего расторжения Договора в случаях, установленных действующим законодательством.</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4.4.3. При поставке товара ненадлежащего качества Покупатель вправе по своему выбору потребовать от Поставщика соразмерного уменьшения покупной цены, безвозмездного устранения недостатков товара, либо потребовать возврата уплаченных сумм.</w:t>
            </w:r>
          </w:p>
        </w:tc>
      </w:tr>
      <w:tr w:rsidR="00623BF5">
        <w:trPr>
          <w:cantSplit/>
        </w:trPr>
        <w:tc>
          <w:tcPr>
            <w:tcW w:w="10320" w:type="dxa"/>
            <w:shd w:val="clear" w:color="auto" w:fill="auto"/>
            <w:vAlign w:val="center"/>
          </w:tcPr>
          <w:p w:rsidR="00623BF5" w:rsidRDefault="00623BF5">
            <w:pPr>
              <w:jc w:val="both"/>
            </w:pPr>
          </w:p>
        </w:tc>
      </w:tr>
      <w:tr w:rsidR="00623BF5">
        <w:trPr>
          <w:cantSplit/>
        </w:trPr>
        <w:tc>
          <w:tcPr>
            <w:tcW w:w="10320" w:type="dxa"/>
            <w:shd w:val="clear" w:color="auto" w:fill="auto"/>
            <w:vAlign w:val="center"/>
          </w:tcPr>
          <w:p w:rsidR="00623BF5" w:rsidRDefault="00034199">
            <w:pPr>
              <w:jc w:val="center"/>
            </w:pPr>
            <w:r>
              <w:rPr>
                <w:rFonts w:ascii="Times New Roman" w:hAnsi="Times New Roman"/>
                <w:sz w:val="20"/>
                <w:szCs w:val="20"/>
              </w:rPr>
              <w:t>5. ПЕРЕХОД  ПРАВА  СОБСТВЕННОСТИ НА ТОВАР</w:t>
            </w:r>
          </w:p>
        </w:tc>
      </w:tr>
      <w:tr w:rsidR="00623BF5">
        <w:trPr>
          <w:cantSplit/>
        </w:trPr>
        <w:tc>
          <w:tcPr>
            <w:tcW w:w="10320" w:type="dxa"/>
            <w:shd w:val="clear" w:color="auto" w:fill="auto"/>
            <w:vAlign w:val="center"/>
          </w:tcPr>
          <w:p w:rsidR="00623BF5" w:rsidRDefault="00623BF5">
            <w:pPr>
              <w:jc w:val="both"/>
            </w:pP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5.1. Право собственности на товар переходит от Поставщика к Покупателю в момент передачи его грузополучателю на складе либо сдаче его в транспортную компанию, которая несет ответственность за целостность упаковки и сохранность груза. Груз в транспортной компании по желанию Покупателя может быть застрахован за счет грузополучателя.</w:t>
            </w:r>
          </w:p>
        </w:tc>
      </w:tr>
      <w:tr w:rsidR="00623BF5">
        <w:trPr>
          <w:cantSplit/>
        </w:trPr>
        <w:tc>
          <w:tcPr>
            <w:tcW w:w="10320" w:type="dxa"/>
            <w:shd w:val="clear" w:color="auto" w:fill="auto"/>
            <w:vAlign w:val="center"/>
          </w:tcPr>
          <w:p w:rsidR="00623BF5" w:rsidRDefault="00623BF5">
            <w:pPr>
              <w:jc w:val="both"/>
            </w:pPr>
          </w:p>
        </w:tc>
      </w:tr>
      <w:tr w:rsidR="00623BF5">
        <w:trPr>
          <w:cantSplit/>
        </w:trPr>
        <w:tc>
          <w:tcPr>
            <w:tcW w:w="10320" w:type="dxa"/>
            <w:shd w:val="clear" w:color="auto" w:fill="auto"/>
            <w:vAlign w:val="center"/>
          </w:tcPr>
          <w:p w:rsidR="00623BF5" w:rsidRDefault="00034199">
            <w:pPr>
              <w:jc w:val="center"/>
            </w:pPr>
            <w:r>
              <w:rPr>
                <w:rFonts w:ascii="Times New Roman" w:hAnsi="Times New Roman"/>
                <w:sz w:val="20"/>
                <w:szCs w:val="20"/>
              </w:rPr>
              <w:t xml:space="preserve"> 6. ОТВЕТСТВЕННОСТЬ СТОРОН</w:t>
            </w:r>
          </w:p>
        </w:tc>
      </w:tr>
      <w:tr w:rsidR="00623BF5">
        <w:trPr>
          <w:cantSplit/>
        </w:trPr>
        <w:tc>
          <w:tcPr>
            <w:tcW w:w="10320" w:type="dxa"/>
            <w:shd w:val="clear" w:color="auto" w:fill="auto"/>
            <w:vAlign w:val="center"/>
          </w:tcPr>
          <w:p w:rsidR="00623BF5" w:rsidRDefault="00623BF5">
            <w:pPr>
              <w:jc w:val="both"/>
            </w:pP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6.1. При недопоставке товара Поставщик по усмотрению Покупателя возвращает последнему стоимость недопоставленного товара или возмещает недостачу при следующих поставках товара.</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6.2. Стороны обязуются сохранять конфиденциальность информации, содержания документов и т.п., полученных в ходе исполнения Договора.</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6.3. Передача конфиденциальной информации третьим лицам, опубликование или иное ее разглашение могут осуществляться только с письменного согласия другой Стороны.</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6.4</w:t>
            </w:r>
            <w:proofErr w:type="gramStart"/>
            <w:r>
              <w:rPr>
                <w:rFonts w:ascii="Times New Roman" w:hAnsi="Times New Roman"/>
                <w:sz w:val="20"/>
                <w:szCs w:val="20"/>
              </w:rPr>
              <w:t xml:space="preserve">  З</w:t>
            </w:r>
            <w:proofErr w:type="gramEnd"/>
            <w:r>
              <w:rPr>
                <w:rFonts w:ascii="Times New Roman" w:hAnsi="Times New Roman"/>
                <w:sz w:val="20"/>
                <w:szCs w:val="20"/>
              </w:rPr>
              <w:t>а неисполнение или ненадлежащее исполнение договорных обязательств стороны несут ответственность в соответствии с действующим законодательством РФ.</w:t>
            </w:r>
          </w:p>
        </w:tc>
      </w:tr>
      <w:tr w:rsidR="00623BF5">
        <w:trPr>
          <w:cantSplit/>
        </w:trPr>
        <w:tc>
          <w:tcPr>
            <w:tcW w:w="10320" w:type="dxa"/>
            <w:shd w:val="clear" w:color="auto" w:fill="auto"/>
            <w:vAlign w:val="center"/>
          </w:tcPr>
          <w:p w:rsidR="00623BF5" w:rsidRDefault="00623BF5">
            <w:pPr>
              <w:jc w:val="both"/>
            </w:pPr>
          </w:p>
        </w:tc>
      </w:tr>
      <w:tr w:rsidR="00623BF5">
        <w:trPr>
          <w:cantSplit/>
        </w:trPr>
        <w:tc>
          <w:tcPr>
            <w:tcW w:w="10320" w:type="dxa"/>
            <w:shd w:val="clear" w:color="auto" w:fill="auto"/>
            <w:vAlign w:val="center"/>
          </w:tcPr>
          <w:p w:rsidR="00623BF5" w:rsidRDefault="00034199">
            <w:pPr>
              <w:jc w:val="center"/>
            </w:pPr>
            <w:r>
              <w:rPr>
                <w:rFonts w:ascii="Times New Roman" w:hAnsi="Times New Roman"/>
                <w:sz w:val="20"/>
                <w:szCs w:val="20"/>
              </w:rPr>
              <w:t xml:space="preserve">7.  </w:t>
            </w:r>
            <w:proofErr w:type="gramStart"/>
            <w:r>
              <w:rPr>
                <w:rFonts w:ascii="Times New Roman" w:hAnsi="Times New Roman"/>
                <w:sz w:val="20"/>
                <w:szCs w:val="20"/>
              </w:rPr>
              <w:t>ФОРС</w:t>
            </w:r>
            <w:proofErr w:type="gramEnd"/>
            <w:r>
              <w:rPr>
                <w:rFonts w:ascii="Times New Roman" w:hAnsi="Times New Roman"/>
                <w:sz w:val="20"/>
                <w:szCs w:val="20"/>
              </w:rPr>
              <w:t xml:space="preserve"> – МАЖОР</w:t>
            </w:r>
          </w:p>
        </w:tc>
      </w:tr>
      <w:tr w:rsidR="00623BF5">
        <w:trPr>
          <w:cantSplit/>
        </w:trPr>
        <w:tc>
          <w:tcPr>
            <w:tcW w:w="10320" w:type="dxa"/>
            <w:shd w:val="clear" w:color="auto" w:fill="auto"/>
            <w:vAlign w:val="center"/>
          </w:tcPr>
          <w:p w:rsidR="00623BF5" w:rsidRDefault="00623BF5">
            <w:pPr>
              <w:jc w:val="both"/>
            </w:pP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7.1. Стороны освобождаются от ответственности за неисполнение или ненадлежащее исполнение своих обязательств по Договору в случае действия обстоятельств непреодолимой силы, а также иных обстоятельств, которые независимы от воли Сторон, и не могли быть ими предвидены в момент заключения Договора, и предотвращены разумными средствами при их наступлении.</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7.2.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Сторона, не сообщившая о наступлении соответствующего обстоятельства, лишается права ссылаться на него, кроме случаев, когда такое обстоятельство препятствовало отправлению сообщения.</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7.3. В случае если обстоятельства, предусмотренные настоящей статьей, длятся более двух месяцев, Стороны определяют дальнейшую юридическую судьбу Договора. Срок исполнения обязательств по Договору  соответственно отодвигается на время действия обстоятельств непреодолимой силы, до полного  исполнения сторонами своих обязательств.</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7.4. Сторона, ссылающаяся на форс-мажорные обстоятельства, обязана представить для их подтверждения документ компетентного государственного органа.</w:t>
            </w:r>
          </w:p>
        </w:tc>
      </w:tr>
      <w:tr w:rsidR="00623BF5">
        <w:trPr>
          <w:cantSplit/>
        </w:trPr>
        <w:tc>
          <w:tcPr>
            <w:tcW w:w="10320" w:type="dxa"/>
            <w:shd w:val="clear" w:color="auto" w:fill="auto"/>
            <w:vAlign w:val="center"/>
          </w:tcPr>
          <w:p w:rsidR="00623BF5" w:rsidRDefault="00623BF5">
            <w:pPr>
              <w:jc w:val="both"/>
            </w:pPr>
          </w:p>
        </w:tc>
      </w:tr>
      <w:tr w:rsidR="00623BF5">
        <w:trPr>
          <w:cantSplit/>
        </w:trPr>
        <w:tc>
          <w:tcPr>
            <w:tcW w:w="10320" w:type="dxa"/>
            <w:shd w:val="clear" w:color="auto" w:fill="auto"/>
            <w:vAlign w:val="center"/>
          </w:tcPr>
          <w:p w:rsidR="00623BF5" w:rsidRDefault="00034199">
            <w:pPr>
              <w:jc w:val="center"/>
            </w:pPr>
            <w:r>
              <w:rPr>
                <w:rFonts w:ascii="Times New Roman" w:hAnsi="Times New Roman"/>
                <w:sz w:val="20"/>
                <w:szCs w:val="20"/>
              </w:rPr>
              <w:t>8.  СРОК ДЕЙСТВИЯ ДОГОВОРА</w:t>
            </w:r>
          </w:p>
        </w:tc>
      </w:tr>
      <w:tr w:rsidR="00623BF5">
        <w:trPr>
          <w:cantSplit/>
        </w:trPr>
        <w:tc>
          <w:tcPr>
            <w:tcW w:w="10320" w:type="dxa"/>
            <w:shd w:val="clear" w:color="auto" w:fill="auto"/>
            <w:vAlign w:val="center"/>
          </w:tcPr>
          <w:p w:rsidR="00623BF5" w:rsidRDefault="00623BF5">
            <w:pPr>
              <w:jc w:val="both"/>
            </w:pP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8.1. Настоящий Договор вступает в силу с момента его подписания и действует 1 год. Истечение срока действия Договора не освобождает Стороны от исполнения принятых на себя обязательств и ответственности за их исполнение. Договор считается  пролонгированным, если ни одна из Сторон не заявила о его расторжении в письменной форме.</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8.2. Договор прекращает свое действие досрочно в случаях, предусмотренных действующим законодательством РФ и настоящим Договором.</w:t>
            </w:r>
          </w:p>
        </w:tc>
      </w:tr>
      <w:tr w:rsidR="00623BF5">
        <w:trPr>
          <w:cantSplit/>
        </w:trPr>
        <w:tc>
          <w:tcPr>
            <w:tcW w:w="10320" w:type="dxa"/>
            <w:shd w:val="clear" w:color="auto" w:fill="auto"/>
            <w:vAlign w:val="center"/>
          </w:tcPr>
          <w:p w:rsidR="00623BF5" w:rsidRDefault="00623BF5">
            <w:pPr>
              <w:jc w:val="both"/>
            </w:pPr>
          </w:p>
        </w:tc>
      </w:tr>
      <w:tr w:rsidR="00623BF5">
        <w:trPr>
          <w:cantSplit/>
        </w:trPr>
        <w:tc>
          <w:tcPr>
            <w:tcW w:w="10320" w:type="dxa"/>
            <w:shd w:val="clear" w:color="auto" w:fill="auto"/>
            <w:vAlign w:val="center"/>
          </w:tcPr>
          <w:p w:rsidR="00623BF5" w:rsidRDefault="00034199">
            <w:pPr>
              <w:jc w:val="center"/>
            </w:pPr>
            <w:r>
              <w:rPr>
                <w:rFonts w:ascii="Times New Roman" w:hAnsi="Times New Roman"/>
                <w:sz w:val="20"/>
                <w:szCs w:val="20"/>
              </w:rPr>
              <w:t>9.  ЗАКЛЮЧИТЕЛЬНЫЕ ПОЛОЖЕНИЯ</w:t>
            </w:r>
          </w:p>
        </w:tc>
      </w:tr>
      <w:tr w:rsidR="00623BF5">
        <w:trPr>
          <w:cantSplit/>
        </w:trPr>
        <w:tc>
          <w:tcPr>
            <w:tcW w:w="10320" w:type="dxa"/>
            <w:shd w:val="clear" w:color="auto" w:fill="auto"/>
            <w:vAlign w:val="center"/>
          </w:tcPr>
          <w:p w:rsidR="00623BF5" w:rsidRDefault="00623BF5">
            <w:pPr>
              <w:jc w:val="both"/>
            </w:pP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9.1. Споры  и  разногласия, возникающие из Договора  или в связи с ним, будут решаться сторонами  путем переговоров с обязательным соблюдением претензионного порядка разрешения споров. Ответ на претензию стороны  предоставляют в течение 7 (семи) календарных дней с момента её поступления. В случае невозможности разрешения разногласий путем переговоров они подлежат рассмотрению в Арбитражном суде по месту нахождения истца.</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9.2. Расторжение Договора возможно по соглашению сторон и в других случаях, предусмотренных действующим законодательством РФ.</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9.3. При изменении наименования, адреса, банковских реквизитов или реорганизации Стороны информируют друг друга в письменном виде в течение 10 (Десяти) рабочих дней.</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 xml:space="preserve">9.4. Договор, а также все документы необходимые для заключение конкретной заявки (счет, письма, </w:t>
            </w:r>
            <w:proofErr w:type="spellStart"/>
            <w:r>
              <w:rPr>
                <w:rFonts w:ascii="Times New Roman" w:hAnsi="Times New Roman"/>
                <w:sz w:val="20"/>
                <w:szCs w:val="20"/>
              </w:rPr>
              <w:t>товарно</w:t>
            </w:r>
            <w:proofErr w:type="spellEnd"/>
            <w:r>
              <w:rPr>
                <w:rFonts w:ascii="Times New Roman" w:hAnsi="Times New Roman"/>
                <w:sz w:val="20"/>
                <w:szCs w:val="20"/>
              </w:rPr>
              <w:t xml:space="preserve"> </w:t>
            </w:r>
            <w:proofErr w:type="gramStart"/>
            <w:r>
              <w:rPr>
                <w:rFonts w:ascii="Times New Roman" w:hAnsi="Times New Roman"/>
                <w:sz w:val="20"/>
                <w:szCs w:val="20"/>
              </w:rPr>
              <w:t>-с</w:t>
            </w:r>
            <w:proofErr w:type="gramEnd"/>
            <w:r>
              <w:rPr>
                <w:rFonts w:ascii="Times New Roman" w:hAnsi="Times New Roman"/>
                <w:sz w:val="20"/>
                <w:szCs w:val="20"/>
              </w:rPr>
              <w:t>опроводительные документы), подписанные сторонами и отправленные по электронной связи имеют одинаковую юридическую силу, и являются оригиналами. Все уведомления и документы, направленные сторонами друг другу с использованием электронной связи  имеют юридическую силу. Данные правила не распространяются на документы бухгалтерского учета, документы бухгалтерской и налоговой отчетности, которые предоставляются только в оригиналах за собственноручными подписями и печатями сторон.</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9.5. Договор составлен в двух экземплярах, имеющих одинаковую юридическую силу, по одному для каждой из Сторон.</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lastRenderedPageBreak/>
              <w:t xml:space="preserve">9.6. Стороны настоящим гарантируют, что являются надлежащим образом зарегистрированными юридическим лицом и индивидуальным предпринимателем в соответствии с законодательством РФ, обладают всеми необходимыми правами и разрешениями для совершения настоящей сделки, а также лица, подписывающие настоящий Договор и в будущем подписывающие все дополнения, приложения и другие документы к настоящему договору </w:t>
            </w:r>
            <w:proofErr w:type="gramStart"/>
            <w:r>
              <w:rPr>
                <w:rFonts w:ascii="Times New Roman" w:hAnsi="Times New Roman"/>
                <w:sz w:val="20"/>
                <w:szCs w:val="20"/>
              </w:rPr>
              <w:t>обладают</w:t>
            </w:r>
            <w:proofErr w:type="gramEnd"/>
            <w:r>
              <w:rPr>
                <w:rFonts w:ascii="Times New Roman" w:hAnsi="Times New Roman"/>
                <w:sz w:val="20"/>
                <w:szCs w:val="20"/>
              </w:rPr>
              <w:t>/будут обладать полными полномочиями на подписание указанных документов, включая, но не ограничиваясь, полномочиями, предоставленными органами управления каждой из сторон.</w:t>
            </w:r>
          </w:p>
        </w:tc>
      </w:tr>
      <w:tr w:rsidR="00623BF5">
        <w:trPr>
          <w:cantSplit/>
        </w:trPr>
        <w:tc>
          <w:tcPr>
            <w:tcW w:w="10320" w:type="dxa"/>
            <w:shd w:val="clear" w:color="auto" w:fill="auto"/>
            <w:vAlign w:val="center"/>
          </w:tcPr>
          <w:p w:rsidR="00623BF5" w:rsidRDefault="00034199">
            <w:pPr>
              <w:jc w:val="both"/>
            </w:pPr>
            <w:r>
              <w:rPr>
                <w:rFonts w:ascii="Times New Roman" w:hAnsi="Times New Roman"/>
                <w:sz w:val="20"/>
                <w:szCs w:val="20"/>
              </w:rPr>
              <w:t>9.7.  По взаимному соглашению Стороны могут внести в настоящий Договор и в приложения к нему необходимые дополнения либо изменения, которые будут действительны, если оформлены в письменном виде и подписаны обеими Сторонами.</w:t>
            </w:r>
          </w:p>
        </w:tc>
      </w:tr>
      <w:tr w:rsidR="00623BF5">
        <w:trPr>
          <w:cantSplit/>
        </w:trPr>
        <w:tc>
          <w:tcPr>
            <w:tcW w:w="10320" w:type="dxa"/>
            <w:shd w:val="clear" w:color="auto" w:fill="auto"/>
            <w:vAlign w:val="center"/>
          </w:tcPr>
          <w:p w:rsidR="00623BF5" w:rsidRDefault="00623BF5">
            <w:pPr>
              <w:jc w:val="both"/>
            </w:pPr>
          </w:p>
        </w:tc>
      </w:tr>
      <w:tr w:rsidR="00623BF5">
        <w:trPr>
          <w:cantSplit/>
        </w:trPr>
        <w:tc>
          <w:tcPr>
            <w:tcW w:w="10320" w:type="dxa"/>
            <w:shd w:val="clear" w:color="auto" w:fill="auto"/>
            <w:vAlign w:val="center"/>
          </w:tcPr>
          <w:p w:rsidR="00623BF5" w:rsidRDefault="00034199">
            <w:pPr>
              <w:jc w:val="center"/>
            </w:pPr>
            <w:r>
              <w:rPr>
                <w:rFonts w:ascii="Times New Roman" w:hAnsi="Times New Roman"/>
                <w:sz w:val="20"/>
                <w:szCs w:val="20"/>
              </w:rPr>
              <w:t>10. АДРЕСА И БАНКОВСКИЕ РЕКВИЗИТЫ СТОРОН</w:t>
            </w:r>
          </w:p>
        </w:tc>
      </w:tr>
      <w:tr w:rsidR="00623BF5">
        <w:trPr>
          <w:cantSplit/>
        </w:trPr>
        <w:tc>
          <w:tcPr>
            <w:tcW w:w="10320" w:type="dxa"/>
            <w:shd w:val="clear" w:color="auto" w:fill="auto"/>
            <w:vAlign w:val="center"/>
          </w:tcPr>
          <w:p w:rsidR="00623BF5" w:rsidRDefault="00623BF5">
            <w:pPr>
              <w:jc w:val="both"/>
            </w:pPr>
          </w:p>
        </w:tc>
      </w:tr>
    </w:tbl>
    <w:tbl>
      <w:tblPr>
        <w:tblStyle w:val="TableStyle1"/>
        <w:tblW w:w="10305" w:type="dxa"/>
        <w:tblInd w:w="0" w:type="dxa"/>
        <w:tblLayout w:type="fixed"/>
        <w:tblLook w:val="04A0" w:firstRow="1" w:lastRow="0" w:firstColumn="1" w:lastColumn="0" w:noHBand="0" w:noVBand="1"/>
      </w:tblPr>
      <w:tblGrid>
        <w:gridCol w:w="5265"/>
        <w:gridCol w:w="5040"/>
      </w:tblGrid>
      <w:tr w:rsidR="00623BF5">
        <w:trPr>
          <w:cantSplit/>
        </w:trPr>
        <w:tc>
          <w:tcPr>
            <w:tcW w:w="5265" w:type="dxa"/>
            <w:shd w:val="clear" w:color="auto" w:fill="auto"/>
          </w:tcPr>
          <w:p w:rsidR="00623BF5" w:rsidRPr="00363C99" w:rsidRDefault="00034199">
            <w:pPr>
              <w:rPr>
                <w:rFonts w:ascii="Times New Roman" w:hAnsi="Times New Roman"/>
                <w:b/>
                <w:sz w:val="24"/>
                <w:szCs w:val="24"/>
              </w:rPr>
            </w:pPr>
            <w:r w:rsidRPr="00363C99">
              <w:rPr>
                <w:rFonts w:ascii="Times New Roman" w:hAnsi="Times New Roman"/>
                <w:b/>
                <w:sz w:val="24"/>
                <w:szCs w:val="24"/>
              </w:rPr>
              <w:t>Поставщик:</w:t>
            </w:r>
          </w:p>
        </w:tc>
        <w:tc>
          <w:tcPr>
            <w:tcW w:w="5040" w:type="dxa"/>
            <w:shd w:val="clear" w:color="auto" w:fill="auto"/>
          </w:tcPr>
          <w:p w:rsidR="00623BF5" w:rsidRPr="00363C99" w:rsidRDefault="00034199">
            <w:pPr>
              <w:rPr>
                <w:rFonts w:ascii="Times New Roman" w:hAnsi="Times New Roman"/>
                <w:b/>
                <w:sz w:val="24"/>
                <w:szCs w:val="24"/>
              </w:rPr>
            </w:pPr>
            <w:r w:rsidRPr="00363C99">
              <w:rPr>
                <w:rFonts w:ascii="Times New Roman" w:hAnsi="Times New Roman"/>
                <w:b/>
                <w:sz w:val="24"/>
                <w:szCs w:val="24"/>
              </w:rPr>
              <w:t>Покупатель:</w:t>
            </w:r>
          </w:p>
        </w:tc>
      </w:tr>
      <w:tr w:rsidR="00623BF5">
        <w:trPr>
          <w:cantSplit/>
        </w:trPr>
        <w:tc>
          <w:tcPr>
            <w:tcW w:w="5265" w:type="dxa"/>
            <w:shd w:val="clear" w:color="auto" w:fill="auto"/>
          </w:tcPr>
          <w:p w:rsidR="00623BF5" w:rsidRDefault="00034199">
            <w:r>
              <w:rPr>
                <w:rFonts w:ascii="Times New Roman" w:hAnsi="Times New Roman"/>
                <w:sz w:val="20"/>
                <w:szCs w:val="20"/>
              </w:rPr>
              <w:t xml:space="preserve">ИП </w:t>
            </w:r>
            <w:proofErr w:type="spellStart"/>
            <w:r>
              <w:rPr>
                <w:rFonts w:ascii="Times New Roman" w:hAnsi="Times New Roman"/>
                <w:sz w:val="20"/>
                <w:szCs w:val="20"/>
              </w:rPr>
              <w:t>Авакова</w:t>
            </w:r>
            <w:proofErr w:type="spellEnd"/>
            <w:r>
              <w:rPr>
                <w:rFonts w:ascii="Times New Roman" w:hAnsi="Times New Roman"/>
                <w:sz w:val="20"/>
                <w:szCs w:val="20"/>
              </w:rPr>
              <w:t xml:space="preserve"> Татьяна Юрьевна</w:t>
            </w:r>
          </w:p>
        </w:tc>
        <w:tc>
          <w:tcPr>
            <w:tcW w:w="5040" w:type="dxa"/>
            <w:shd w:val="clear" w:color="auto" w:fill="auto"/>
          </w:tcPr>
          <w:p w:rsidR="00623BF5" w:rsidRDefault="00500BF0">
            <w:pPr>
              <w:rPr>
                <w:rFonts w:ascii="Times New Roman" w:hAnsi="Times New Roman"/>
                <w:sz w:val="20"/>
                <w:szCs w:val="20"/>
              </w:rPr>
            </w:pPr>
            <w:r>
              <w:rPr>
                <w:rFonts w:ascii="Times New Roman" w:hAnsi="Times New Roman"/>
                <w:sz w:val="20"/>
                <w:szCs w:val="20"/>
              </w:rPr>
              <w:t>ФИО</w:t>
            </w:r>
            <w:bookmarkStart w:id="0" w:name="_GoBack"/>
            <w:bookmarkEnd w:id="0"/>
          </w:p>
          <w:p w:rsidR="00500BF0" w:rsidRDefault="00500BF0"/>
        </w:tc>
      </w:tr>
      <w:tr w:rsidR="00623BF5">
        <w:trPr>
          <w:cantSplit/>
        </w:trPr>
        <w:tc>
          <w:tcPr>
            <w:tcW w:w="5265" w:type="dxa"/>
            <w:shd w:val="clear" w:color="auto" w:fill="auto"/>
          </w:tcPr>
          <w:p w:rsidR="00623BF5" w:rsidRDefault="00034199">
            <w:r>
              <w:rPr>
                <w:rFonts w:ascii="Times New Roman" w:hAnsi="Times New Roman"/>
                <w:sz w:val="20"/>
                <w:szCs w:val="20"/>
              </w:rPr>
              <w:t>ИНН 263200147909</w:t>
            </w:r>
          </w:p>
        </w:tc>
        <w:tc>
          <w:tcPr>
            <w:tcW w:w="5040" w:type="dxa"/>
            <w:shd w:val="clear" w:color="auto" w:fill="auto"/>
          </w:tcPr>
          <w:p w:rsidR="00623BF5" w:rsidRDefault="00500BF0">
            <w:r w:rsidRPr="00500BF0">
              <w:rPr>
                <w:rFonts w:ascii="Times New Roman" w:hAnsi="Times New Roman"/>
                <w:sz w:val="20"/>
                <w:szCs w:val="20"/>
              </w:rPr>
              <w:t>ИНН</w:t>
            </w:r>
          </w:p>
        </w:tc>
      </w:tr>
      <w:tr w:rsidR="00623BF5">
        <w:trPr>
          <w:cantSplit/>
        </w:trPr>
        <w:tc>
          <w:tcPr>
            <w:tcW w:w="5265" w:type="dxa"/>
            <w:shd w:val="clear" w:color="auto" w:fill="auto"/>
          </w:tcPr>
          <w:p w:rsidR="00623BF5" w:rsidRDefault="00034199">
            <w:r>
              <w:rPr>
                <w:rFonts w:ascii="Times New Roman" w:hAnsi="Times New Roman"/>
                <w:sz w:val="20"/>
                <w:szCs w:val="20"/>
              </w:rPr>
              <w:t>ОГРН 304263212800106</w:t>
            </w:r>
          </w:p>
        </w:tc>
        <w:tc>
          <w:tcPr>
            <w:tcW w:w="5040" w:type="dxa"/>
            <w:shd w:val="clear" w:color="auto" w:fill="auto"/>
          </w:tcPr>
          <w:p w:rsidR="00623BF5" w:rsidRDefault="00500BF0">
            <w:r>
              <w:rPr>
                <w:rFonts w:ascii="Times New Roman" w:hAnsi="Times New Roman"/>
                <w:sz w:val="20"/>
                <w:szCs w:val="20"/>
              </w:rPr>
              <w:t>ОРГН</w:t>
            </w:r>
          </w:p>
        </w:tc>
      </w:tr>
      <w:tr w:rsidR="00623BF5">
        <w:trPr>
          <w:cantSplit/>
        </w:trPr>
        <w:tc>
          <w:tcPr>
            <w:tcW w:w="5265" w:type="dxa"/>
            <w:shd w:val="clear" w:color="auto" w:fill="auto"/>
          </w:tcPr>
          <w:p w:rsidR="00623BF5" w:rsidRDefault="00623BF5"/>
        </w:tc>
        <w:tc>
          <w:tcPr>
            <w:tcW w:w="5040" w:type="dxa"/>
            <w:shd w:val="clear" w:color="auto" w:fill="auto"/>
          </w:tcPr>
          <w:p w:rsidR="00623BF5" w:rsidRDefault="00034199">
            <w:r>
              <w:rPr>
                <w:rFonts w:ascii="Times New Roman" w:hAnsi="Times New Roman"/>
                <w:sz w:val="20"/>
                <w:szCs w:val="20"/>
              </w:rPr>
              <w:t>Юридический адрес:</w:t>
            </w:r>
          </w:p>
        </w:tc>
      </w:tr>
      <w:tr w:rsidR="00500BF0">
        <w:trPr>
          <w:cantSplit/>
        </w:trPr>
        <w:tc>
          <w:tcPr>
            <w:tcW w:w="5265" w:type="dxa"/>
            <w:shd w:val="clear" w:color="auto" w:fill="auto"/>
          </w:tcPr>
          <w:p w:rsidR="00500BF0" w:rsidRDefault="00500BF0" w:rsidP="00DB3106">
            <w:r>
              <w:rPr>
                <w:rFonts w:ascii="Times New Roman" w:hAnsi="Times New Roman"/>
                <w:sz w:val="20"/>
                <w:szCs w:val="20"/>
              </w:rPr>
              <w:t>Адрес:</w:t>
            </w:r>
          </w:p>
        </w:tc>
        <w:tc>
          <w:tcPr>
            <w:tcW w:w="5040" w:type="dxa"/>
            <w:vMerge w:val="restart"/>
            <w:shd w:val="clear" w:color="auto" w:fill="auto"/>
          </w:tcPr>
          <w:p w:rsidR="00500BF0" w:rsidRDefault="00500BF0"/>
        </w:tc>
      </w:tr>
      <w:tr w:rsidR="00500BF0">
        <w:trPr>
          <w:cantSplit/>
        </w:trPr>
        <w:tc>
          <w:tcPr>
            <w:tcW w:w="5265" w:type="dxa"/>
            <w:shd w:val="clear" w:color="auto" w:fill="auto"/>
          </w:tcPr>
          <w:p w:rsidR="00500BF0" w:rsidRDefault="00500BF0" w:rsidP="00DB3106">
            <w:r>
              <w:rPr>
                <w:rFonts w:ascii="Times New Roman" w:hAnsi="Times New Roman"/>
                <w:sz w:val="20"/>
                <w:szCs w:val="20"/>
              </w:rPr>
              <w:t>115516, г. Москва, ул. Промышленная 11,</w:t>
            </w:r>
          </w:p>
        </w:tc>
        <w:tc>
          <w:tcPr>
            <w:tcW w:w="5040" w:type="dxa"/>
            <w:vMerge/>
            <w:shd w:val="clear" w:color="auto" w:fill="auto"/>
          </w:tcPr>
          <w:p w:rsidR="00500BF0" w:rsidRDefault="00500BF0"/>
        </w:tc>
      </w:tr>
      <w:tr w:rsidR="00500BF0">
        <w:trPr>
          <w:cantSplit/>
        </w:trPr>
        <w:tc>
          <w:tcPr>
            <w:tcW w:w="5265" w:type="dxa"/>
            <w:shd w:val="clear" w:color="auto" w:fill="auto"/>
          </w:tcPr>
          <w:p w:rsidR="00500BF0" w:rsidRDefault="00500BF0" w:rsidP="00DB3106">
            <w:r>
              <w:rPr>
                <w:rFonts w:ascii="Times New Roman" w:hAnsi="Times New Roman"/>
                <w:sz w:val="20"/>
                <w:szCs w:val="20"/>
              </w:rPr>
              <w:t>стр. 3, под. 1, офис 404.</w:t>
            </w:r>
          </w:p>
        </w:tc>
        <w:tc>
          <w:tcPr>
            <w:tcW w:w="5040" w:type="dxa"/>
            <w:shd w:val="clear" w:color="auto" w:fill="auto"/>
          </w:tcPr>
          <w:p w:rsidR="00500BF0" w:rsidRDefault="00500BF0" w:rsidP="00DB3106">
            <w:r>
              <w:rPr>
                <w:rFonts w:ascii="Times New Roman" w:hAnsi="Times New Roman"/>
                <w:sz w:val="20"/>
                <w:szCs w:val="20"/>
              </w:rPr>
              <w:t>Тел:</w:t>
            </w:r>
          </w:p>
        </w:tc>
      </w:tr>
      <w:tr w:rsidR="00500BF0">
        <w:trPr>
          <w:cantSplit/>
        </w:trPr>
        <w:tc>
          <w:tcPr>
            <w:tcW w:w="5265" w:type="dxa"/>
            <w:shd w:val="clear" w:color="auto" w:fill="auto"/>
          </w:tcPr>
          <w:p w:rsidR="00500BF0" w:rsidRDefault="00500BF0" w:rsidP="00DB3106">
            <w:r>
              <w:rPr>
                <w:rFonts w:ascii="Times New Roman" w:hAnsi="Times New Roman"/>
                <w:sz w:val="20"/>
                <w:szCs w:val="20"/>
              </w:rPr>
              <w:t>Тел: 8 495 123 31 18</w:t>
            </w:r>
          </w:p>
        </w:tc>
        <w:tc>
          <w:tcPr>
            <w:tcW w:w="5040" w:type="dxa"/>
            <w:vMerge w:val="restart"/>
            <w:shd w:val="clear" w:color="auto" w:fill="auto"/>
          </w:tcPr>
          <w:p w:rsidR="00500BF0" w:rsidRDefault="00500BF0" w:rsidP="00DB3106"/>
          <w:p w:rsidR="00500BF0" w:rsidRDefault="00500BF0" w:rsidP="00DB3106">
            <w:r>
              <w:rPr>
                <w:rFonts w:ascii="Times New Roman" w:hAnsi="Times New Roman"/>
                <w:sz w:val="20"/>
                <w:szCs w:val="20"/>
              </w:rPr>
              <w:t>Банковские реквизиты:</w:t>
            </w:r>
          </w:p>
        </w:tc>
      </w:tr>
      <w:tr w:rsidR="00500BF0">
        <w:trPr>
          <w:cantSplit/>
        </w:trPr>
        <w:tc>
          <w:tcPr>
            <w:tcW w:w="5265" w:type="dxa"/>
            <w:shd w:val="clear" w:color="auto" w:fill="auto"/>
          </w:tcPr>
          <w:p w:rsidR="00500BF0" w:rsidRDefault="00500BF0" w:rsidP="00DB3106"/>
        </w:tc>
        <w:tc>
          <w:tcPr>
            <w:tcW w:w="5040" w:type="dxa"/>
            <w:vMerge/>
            <w:shd w:val="clear" w:color="auto" w:fill="auto"/>
          </w:tcPr>
          <w:p w:rsidR="00500BF0" w:rsidRDefault="00500BF0"/>
        </w:tc>
      </w:tr>
      <w:tr w:rsidR="00500BF0">
        <w:trPr>
          <w:cantSplit/>
        </w:trPr>
        <w:tc>
          <w:tcPr>
            <w:tcW w:w="5265" w:type="dxa"/>
            <w:shd w:val="clear" w:color="auto" w:fill="auto"/>
          </w:tcPr>
          <w:p w:rsidR="00500BF0" w:rsidRDefault="00500BF0" w:rsidP="00DB3106">
            <w:r>
              <w:rPr>
                <w:rFonts w:ascii="Times New Roman" w:hAnsi="Times New Roman"/>
                <w:sz w:val="20"/>
                <w:szCs w:val="20"/>
              </w:rPr>
              <w:t>Банковские реквизиты:</w:t>
            </w:r>
          </w:p>
        </w:tc>
        <w:tc>
          <w:tcPr>
            <w:tcW w:w="5040" w:type="dxa"/>
            <w:shd w:val="clear" w:color="auto" w:fill="auto"/>
          </w:tcPr>
          <w:p w:rsidR="00500BF0" w:rsidRDefault="00500BF0" w:rsidP="00DB3106"/>
        </w:tc>
      </w:tr>
      <w:tr w:rsidR="00500BF0">
        <w:trPr>
          <w:cantSplit/>
        </w:trPr>
        <w:tc>
          <w:tcPr>
            <w:tcW w:w="5265" w:type="dxa"/>
            <w:shd w:val="clear" w:color="auto" w:fill="auto"/>
          </w:tcPr>
          <w:p w:rsidR="00500BF0" w:rsidRDefault="00500BF0" w:rsidP="00DB3106"/>
        </w:tc>
        <w:tc>
          <w:tcPr>
            <w:tcW w:w="5040" w:type="dxa"/>
            <w:shd w:val="clear" w:color="auto" w:fill="auto"/>
          </w:tcPr>
          <w:p w:rsidR="00500BF0" w:rsidRDefault="00500BF0" w:rsidP="00DB3106"/>
        </w:tc>
      </w:tr>
      <w:tr w:rsidR="00500BF0">
        <w:trPr>
          <w:cantSplit/>
        </w:trPr>
        <w:tc>
          <w:tcPr>
            <w:tcW w:w="5265" w:type="dxa"/>
            <w:shd w:val="clear" w:color="auto" w:fill="auto"/>
          </w:tcPr>
          <w:p w:rsidR="00500BF0" w:rsidRDefault="00500BF0" w:rsidP="00DB3106"/>
        </w:tc>
        <w:tc>
          <w:tcPr>
            <w:tcW w:w="5040" w:type="dxa"/>
            <w:shd w:val="clear" w:color="auto" w:fill="auto"/>
          </w:tcPr>
          <w:p w:rsidR="00500BF0" w:rsidRDefault="00500BF0" w:rsidP="00DB3106">
            <w:r>
              <w:rPr>
                <w:rFonts w:ascii="Times New Roman" w:hAnsi="Times New Roman"/>
                <w:sz w:val="20"/>
                <w:szCs w:val="20"/>
              </w:rPr>
              <w:t xml:space="preserve">      .</w:t>
            </w:r>
          </w:p>
        </w:tc>
      </w:tr>
      <w:tr w:rsidR="00500BF0">
        <w:trPr>
          <w:cantSplit/>
        </w:trPr>
        <w:tc>
          <w:tcPr>
            <w:tcW w:w="5265" w:type="dxa"/>
            <w:shd w:val="clear" w:color="auto" w:fill="auto"/>
          </w:tcPr>
          <w:p w:rsidR="00500BF0" w:rsidRDefault="00500BF0" w:rsidP="00DB3106"/>
        </w:tc>
        <w:tc>
          <w:tcPr>
            <w:tcW w:w="5040" w:type="dxa"/>
            <w:shd w:val="clear" w:color="auto" w:fill="auto"/>
          </w:tcPr>
          <w:p w:rsidR="00500BF0" w:rsidRDefault="00500BF0" w:rsidP="00DB3106">
            <w:pPr>
              <w:jc w:val="center"/>
            </w:pPr>
          </w:p>
        </w:tc>
      </w:tr>
      <w:tr w:rsidR="00500BF0">
        <w:trPr>
          <w:cantSplit/>
        </w:trPr>
        <w:tc>
          <w:tcPr>
            <w:tcW w:w="5265" w:type="dxa"/>
            <w:shd w:val="clear" w:color="auto" w:fill="auto"/>
          </w:tcPr>
          <w:p w:rsidR="00500BF0" w:rsidRDefault="00500BF0" w:rsidP="00DB3106">
            <w:pPr>
              <w:jc w:val="center"/>
            </w:pPr>
          </w:p>
        </w:tc>
        <w:tc>
          <w:tcPr>
            <w:tcW w:w="5040" w:type="dxa"/>
            <w:shd w:val="clear" w:color="auto" w:fill="auto"/>
          </w:tcPr>
          <w:p w:rsidR="00500BF0" w:rsidRDefault="00500BF0" w:rsidP="00DB3106">
            <w:pPr>
              <w:jc w:val="center"/>
            </w:pPr>
          </w:p>
        </w:tc>
      </w:tr>
      <w:tr w:rsidR="00500BF0">
        <w:trPr>
          <w:cantSplit/>
        </w:trPr>
        <w:tc>
          <w:tcPr>
            <w:tcW w:w="5265" w:type="dxa"/>
            <w:shd w:val="clear" w:color="auto" w:fill="auto"/>
          </w:tcPr>
          <w:p w:rsidR="00500BF0" w:rsidRDefault="00500BF0" w:rsidP="00DB3106">
            <w:pPr>
              <w:jc w:val="center"/>
            </w:pPr>
          </w:p>
        </w:tc>
        <w:tc>
          <w:tcPr>
            <w:tcW w:w="5040" w:type="dxa"/>
            <w:shd w:val="clear" w:color="auto" w:fill="auto"/>
          </w:tcPr>
          <w:p w:rsidR="00500BF0" w:rsidRDefault="00500BF0" w:rsidP="00DB3106">
            <w:pPr>
              <w:jc w:val="both"/>
            </w:pPr>
            <w:r>
              <w:rPr>
                <w:rFonts w:ascii="Times New Roman" w:hAnsi="Times New Roman"/>
                <w:b/>
                <w:sz w:val="20"/>
                <w:szCs w:val="20"/>
              </w:rPr>
              <w:t>ФИО</w:t>
            </w:r>
          </w:p>
        </w:tc>
      </w:tr>
      <w:tr w:rsidR="00500BF0" w:rsidTr="00F138CB">
        <w:trPr>
          <w:cantSplit/>
        </w:trPr>
        <w:tc>
          <w:tcPr>
            <w:tcW w:w="5265" w:type="dxa"/>
            <w:shd w:val="clear" w:color="auto" w:fill="auto"/>
          </w:tcPr>
          <w:p w:rsidR="00500BF0" w:rsidRDefault="00500BF0" w:rsidP="00DB3106">
            <w:pPr>
              <w:jc w:val="both"/>
            </w:pPr>
            <w:r>
              <w:rPr>
                <w:rFonts w:ascii="Times New Roman" w:hAnsi="Times New Roman"/>
                <w:b/>
                <w:sz w:val="20"/>
                <w:szCs w:val="20"/>
              </w:rPr>
              <w:t xml:space="preserve">ИП </w:t>
            </w:r>
            <w:proofErr w:type="spellStart"/>
            <w:r>
              <w:rPr>
                <w:rFonts w:ascii="Times New Roman" w:hAnsi="Times New Roman"/>
                <w:b/>
                <w:sz w:val="20"/>
                <w:szCs w:val="20"/>
              </w:rPr>
              <w:t>Авакова</w:t>
            </w:r>
            <w:proofErr w:type="spellEnd"/>
            <w:r>
              <w:rPr>
                <w:rFonts w:ascii="Times New Roman" w:hAnsi="Times New Roman"/>
                <w:b/>
                <w:sz w:val="20"/>
                <w:szCs w:val="20"/>
              </w:rPr>
              <w:t xml:space="preserve"> Татьяна Юрьевна</w:t>
            </w:r>
          </w:p>
        </w:tc>
        <w:tc>
          <w:tcPr>
            <w:tcW w:w="5040" w:type="dxa"/>
            <w:shd w:val="clear" w:color="auto" w:fill="auto"/>
            <w:vAlign w:val="bottom"/>
          </w:tcPr>
          <w:p w:rsidR="00500BF0" w:rsidRDefault="00500BF0" w:rsidP="00DB3106">
            <w:pPr>
              <w:wordWrap w:val="0"/>
              <w:jc w:val="both"/>
            </w:pPr>
            <w:r>
              <w:rPr>
                <w:rFonts w:ascii="Times New Roman" w:hAnsi="Times New Roman"/>
                <w:b/>
                <w:sz w:val="20"/>
                <w:szCs w:val="20"/>
              </w:rPr>
              <w:t>_____________ / _________</w:t>
            </w:r>
          </w:p>
        </w:tc>
      </w:tr>
      <w:tr w:rsidR="00500BF0" w:rsidTr="00BB4390">
        <w:trPr>
          <w:cantSplit/>
        </w:trPr>
        <w:tc>
          <w:tcPr>
            <w:tcW w:w="5265" w:type="dxa"/>
            <w:shd w:val="clear" w:color="auto" w:fill="auto"/>
            <w:vAlign w:val="bottom"/>
          </w:tcPr>
          <w:p w:rsidR="00500BF0" w:rsidRDefault="00500BF0" w:rsidP="00DB3106">
            <w:pPr>
              <w:wordWrap w:val="0"/>
              <w:jc w:val="both"/>
            </w:pPr>
            <w:r>
              <w:rPr>
                <w:rFonts w:ascii="Times New Roman" w:hAnsi="Times New Roman"/>
                <w:b/>
                <w:sz w:val="20"/>
                <w:szCs w:val="20"/>
              </w:rPr>
              <w:t>____________ / __________</w:t>
            </w:r>
          </w:p>
        </w:tc>
        <w:tc>
          <w:tcPr>
            <w:tcW w:w="5040" w:type="dxa"/>
            <w:shd w:val="clear" w:color="auto" w:fill="auto"/>
          </w:tcPr>
          <w:p w:rsidR="00500BF0" w:rsidRDefault="00500BF0">
            <w:pPr>
              <w:jc w:val="center"/>
            </w:pPr>
          </w:p>
        </w:tc>
      </w:tr>
      <w:tr w:rsidR="00500BF0">
        <w:trPr>
          <w:cantSplit/>
        </w:trPr>
        <w:tc>
          <w:tcPr>
            <w:tcW w:w="5265" w:type="dxa"/>
            <w:shd w:val="clear" w:color="auto" w:fill="auto"/>
          </w:tcPr>
          <w:p w:rsidR="00500BF0" w:rsidRDefault="00500BF0">
            <w:pPr>
              <w:jc w:val="both"/>
            </w:pPr>
          </w:p>
        </w:tc>
        <w:tc>
          <w:tcPr>
            <w:tcW w:w="5040" w:type="dxa"/>
            <w:shd w:val="clear" w:color="auto" w:fill="auto"/>
          </w:tcPr>
          <w:p w:rsidR="00500BF0" w:rsidRDefault="00500BF0">
            <w:pPr>
              <w:jc w:val="both"/>
            </w:pPr>
          </w:p>
        </w:tc>
      </w:tr>
      <w:tr w:rsidR="00500BF0">
        <w:trPr>
          <w:cantSplit/>
          <w:trHeight w:val="480"/>
        </w:trPr>
        <w:tc>
          <w:tcPr>
            <w:tcW w:w="5265" w:type="dxa"/>
            <w:shd w:val="clear" w:color="auto" w:fill="auto"/>
            <w:vAlign w:val="bottom"/>
          </w:tcPr>
          <w:p w:rsidR="00500BF0" w:rsidRDefault="00500BF0">
            <w:pPr>
              <w:wordWrap w:val="0"/>
              <w:jc w:val="both"/>
            </w:pPr>
          </w:p>
        </w:tc>
        <w:tc>
          <w:tcPr>
            <w:tcW w:w="5040" w:type="dxa"/>
            <w:shd w:val="clear" w:color="auto" w:fill="auto"/>
            <w:vAlign w:val="bottom"/>
          </w:tcPr>
          <w:p w:rsidR="00500BF0" w:rsidRDefault="00500BF0">
            <w:pPr>
              <w:wordWrap w:val="0"/>
              <w:jc w:val="both"/>
            </w:pPr>
          </w:p>
        </w:tc>
      </w:tr>
    </w:tbl>
    <w:p w:rsidR="00034199" w:rsidRDefault="00034199"/>
    <w:sectPr w:rsidR="00034199">
      <w:footerReference w:type="default" r:id="rId7"/>
      <w:footerReference w:type="first" r:id="rId8"/>
      <w:pgSz w:w="11907" w:h="16839"/>
      <w:pgMar w:top="567" w:right="567" w:bottom="1134"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584" w:rsidRDefault="00627584">
      <w:pPr>
        <w:spacing w:after="0" w:line="240" w:lineRule="auto"/>
      </w:pPr>
      <w:r>
        <w:separator/>
      </w:r>
    </w:p>
  </w:endnote>
  <w:endnote w:type="continuationSeparator" w:id="0">
    <w:p w:rsidR="00627584" w:rsidRDefault="0062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63122"/>
      <w:docPartObj>
        <w:docPartGallery w:val="Page Numbers (Top of Page)"/>
      </w:docPartObj>
    </w:sdtPr>
    <w:sdtEndPr/>
    <w:sdtContent>
      <w:p w:rsidR="00623BF5" w:rsidRDefault="00034199">
        <w:r>
          <w:rPr>
            <w:rFonts w:ascii="Arial" w:hAnsi="Arial"/>
            <w:color w:val="000000"/>
            <w:sz w:val="16"/>
          </w:rPr>
          <w:t>Подпись поставщика ______________</w:t>
        </w:r>
        <w:r>
          <w:tab/>
        </w:r>
        <w:r>
          <w:ptab w:relativeTo="margin" w:alignment="right" w:leader="none"/>
        </w:r>
        <w:r>
          <w:rPr>
            <w:rFonts w:ascii="Arial" w:hAnsi="Arial"/>
            <w:color w:val="000000"/>
            <w:sz w:val="16"/>
          </w:rPr>
          <w:t>Подпись покупателя ______________</w:t>
        </w:r>
      </w:p>
    </w:sdtContent>
  </w:sdt>
  <w:p w:rsidR="00623BF5" w:rsidRDefault="00623B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01766"/>
      <w:docPartObj>
        <w:docPartGallery w:val="Page Numbers (Top of Page)"/>
      </w:docPartObj>
    </w:sdtPr>
    <w:sdtEndPr/>
    <w:sdtContent>
      <w:p w:rsidR="00623BF5" w:rsidRDefault="00034199">
        <w:r>
          <w:rPr>
            <w:rFonts w:ascii="Arial" w:hAnsi="Arial"/>
            <w:color w:val="000000"/>
            <w:sz w:val="16"/>
          </w:rPr>
          <w:t>Подпись поставщика ______________</w:t>
        </w:r>
        <w:r>
          <w:tab/>
        </w:r>
        <w:r>
          <w:ptab w:relativeTo="margin" w:alignment="right" w:leader="none"/>
        </w:r>
        <w:r>
          <w:rPr>
            <w:rFonts w:ascii="Arial" w:hAnsi="Arial"/>
            <w:color w:val="000000"/>
            <w:sz w:val="16"/>
          </w:rPr>
          <w:t>Подпись покупателя ______________</w:t>
        </w:r>
      </w:p>
    </w:sdtContent>
  </w:sdt>
  <w:p w:rsidR="00623BF5" w:rsidRDefault="00623B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584" w:rsidRDefault="00627584">
      <w:pPr>
        <w:spacing w:after="0" w:line="240" w:lineRule="auto"/>
      </w:pPr>
      <w:r>
        <w:separator/>
      </w:r>
    </w:p>
  </w:footnote>
  <w:footnote w:type="continuationSeparator" w:id="0">
    <w:p w:rsidR="00627584" w:rsidRDefault="006275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3BF5"/>
    <w:rsid w:val="00034199"/>
    <w:rsid w:val="00363C99"/>
    <w:rsid w:val="00500BF0"/>
    <w:rsid w:val="00623BF5"/>
    <w:rsid w:val="00627584"/>
    <w:rsid w:val="007C7B8A"/>
    <w:rsid w:val="009038B4"/>
    <w:rsid w:val="00B73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pPr>
      <w:spacing w:after="0" w:line="240" w:lineRule="auto"/>
    </w:pPr>
    <w:rPr>
      <w:rFonts w:ascii="Arial" w:hAnsi="Arial"/>
      <w:sz w:val="16"/>
    </w:rPr>
    <w:tblPr>
      <w:tblCellMar>
        <w:top w:w="0" w:type="dxa"/>
        <w:left w:w="0" w:type="dxa"/>
        <w:bottom w:w="0" w:type="dxa"/>
        <w:right w:w="0" w:type="dxa"/>
      </w:tblCellMar>
    </w:tblPr>
  </w:style>
  <w:style w:type="paragraph" w:styleId="a3">
    <w:name w:val="foote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2252</Words>
  <Characters>12843</Characters>
  <Application>Microsoft Office Word</Application>
  <DocSecurity>0</DocSecurity>
  <Lines>107</Lines>
  <Paragraphs>30</Paragraphs>
  <ScaleCrop>false</ScaleCrop>
  <Company/>
  <LinksUpToDate>false</LinksUpToDate>
  <CharactersWithSpaces>15065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2023-06-22T10:36:00Z</dcterms:created>
  <dcterms:modified xsi:type="dcterms:W3CDTF">2023-06-30T08:24:00Z</dcterms:modified>
</cp:coreProperties>
</file>